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tbl>
      <w:tblPr>
        <w:tblOverlap w:val="never"/>
        <w:jc w:val="center"/>
        <w:tblLayout w:type="fixed"/>
      </w:tblPr>
      <w:tblGrid>
        <w:gridCol w:w="571"/>
        <w:gridCol w:w="974"/>
        <w:gridCol w:w="1987"/>
        <w:gridCol w:w="2856"/>
        <w:gridCol w:w="1834"/>
        <w:gridCol w:w="4128"/>
        <w:gridCol w:w="1363"/>
      </w:tblGrid>
      <w:tr>
        <w:trPr>
          <w:trHeight w:val="37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left"/>
              <w:rPr>
                <w:sz w:val="68"/>
                <w:szCs w:val="6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68"/>
                <w:szCs w:val="68"/>
                <w:shd w:val="clear" w:color="auto" w:fill="auto"/>
                <w:lang w:val="tr-TR" w:eastAsia="tr-TR" w:bidi="tr-TR"/>
              </w:rPr>
              <w:t>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FFFF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tr-TR" w:eastAsia="tr-TR" w:bidi="tr-TR"/>
              </w:rPr>
              <w:t>DEVLET SU İŞLERİ GENEL MÜDÜRLÜĞÜ HİZMET STANDARTLARI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20" w:firstLine="0"/>
              <w:jc w:val="right"/>
              <w:rPr>
                <w:sz w:val="24"/>
                <w:szCs w:val="24"/>
              </w:rPr>
            </w:pPr>
            <w:r>
              <w:rPr>
                <w:color w:val="FFFFFF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tr-TR" w:eastAsia="tr-TR" w:bidi="tr-TR"/>
              </w:rPr>
              <w:t>KADİRLİ İŞLETME BAKIM BAŞMÜHENDİSLİĞİ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SIRA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NO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HİZMETİN ADI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BAŞVURUDA İSTENİLEN BELGELER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HİZMETİN TAMAMLANM A SÜRESİ (EN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GEÇ)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Makinalı Çalışmalar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1. Vatandaş Dilekçesi ( Çalışma Yapmaya Engel Durum Olmaması Halinde)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 Gün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DSİ'ce İşletilen Sulama ve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Kurutma Tesislerinde İşletme - Bakım ve Yıllık Yatırım Ücret Tarifeleriyle İlgili Faaliyetler ve Uygulamayla İlgili Başvuruların Cevaplandırılması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 xml:space="preserve">1. Dilekçe Veya Resmi Yazı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(İlgili Birime ulaştırılmak suretiyle)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Ay</w:t>
            </w:r>
          </w:p>
        </w:tc>
      </w:tr>
      <w:tr>
        <w:trPr>
          <w:trHeight w:val="1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Yüksek Öğrenim Kurumlan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Staj Kontenjan İşleri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1. öğrencilerin öğrenim gördükleri yükseköğretim kurumundan alacakları öğrenim gördükleri bölüm, staj süresi ile İş Kazası ve Meslek Hastalığı Sigortası prim giderlerinin üniversite tarafından karşılanacağını belirten resmi yazı,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T.C. Kimlik numarası yazılı nüfus cüzdanının arkalı önlü fotokopisi,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 xml:space="preserve">Staj Başvuru Formu (İlgili Birimden temin edilecek)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(İlgili Birime ulaştırılmak suretiyle)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 Gün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Eğitim ve Dinlenme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Tesisleri Başvurusu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9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Kimlik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9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Avans Dekontu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Başvuru Formu ( Devre Tarihinden Sonraki Süreç) (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İlgili Birime ulaştırılmak suretiyle)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7 Gün</w:t>
            </w:r>
          </w:p>
        </w:tc>
      </w:tr>
      <w:tr>
        <w:trPr>
          <w:trHeight w:val="4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İlk Müracaat Yeri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DSİ Kadirli İşletme ve Bakım Başmüh.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İkinci Müracaat Yeri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DSİ 6. Bölge Müdürlüğü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İsim: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Sezer GEZER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İsim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Mevlüt AYDIN</w:t>
            </w:r>
          </w:p>
        </w:tc>
      </w:tr>
      <w:tr>
        <w:trPr>
          <w:trHeight w:val="53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Unvan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Başmühendis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Unvan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Bölge Müdürü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Adres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Halitağalar Köyü Mevkii Kadirli Z OSMANİYE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Adres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DSİ 6. Bölge Müdürlüğü ADANA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Telefon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328 7182259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Telefon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322 4590590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Faks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Faks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328 4532774</w:t>
            </w:r>
          </w:p>
        </w:tc>
      </w:tr>
      <w:tr>
        <w:trPr>
          <w:trHeight w:val="34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e-posta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"mailto:sezergezer@dsi.gov.tr"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sezergezer@dsi.gov.tr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e-posta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"mailto:mevlutaydm@dsi.gov.tr"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mevlutaydm@dsi.gov.tr</w:t>
            </w:r>
            <w:r>
              <w:fldChar w:fldCharType="end"/>
            </w: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617" w:left="1304" w:right="1822" w:bottom="617" w:header="189" w:footer="1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tr-TR" w:eastAsia="tr-TR" w:bidi="tr-TR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tr-TR" w:eastAsia="tr-TR" w:bidi="tr-TR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Diğer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Diğer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